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50A" w:rsidRDefault="0080250A">
      <w:bookmarkStart w:id="0" w:name="_GoBack"/>
      <w:bookmarkEnd w:id="0"/>
    </w:p>
    <w:p w:rsidR="0080250A" w:rsidRDefault="0080250A"/>
    <w:p w:rsidR="0080250A" w:rsidRDefault="0080250A"/>
    <w:p w:rsidR="0080250A" w:rsidRDefault="0080250A"/>
    <w:p w:rsidR="0080250A" w:rsidRDefault="0080250A"/>
    <w:p w:rsidR="0080250A" w:rsidRDefault="0080250A"/>
    <w:p w:rsidR="00937F00" w:rsidRDefault="00937F00" w:rsidP="00FA630C">
      <w:pPr>
        <w:pStyle w:val="Default"/>
        <w:jc w:val="center"/>
        <w:rPr>
          <w:rFonts w:asciiTheme="minorHAnsi" w:hAnsiTheme="minorHAnsi" w:cstheme="minorHAnsi"/>
          <w:b/>
          <w:bCs/>
          <w:sz w:val="28"/>
          <w:szCs w:val="28"/>
        </w:rPr>
      </w:pPr>
    </w:p>
    <w:p w:rsidR="00937F00" w:rsidRDefault="00937F00" w:rsidP="00FA630C">
      <w:pPr>
        <w:pStyle w:val="Default"/>
        <w:jc w:val="center"/>
        <w:rPr>
          <w:rFonts w:asciiTheme="minorHAnsi" w:hAnsiTheme="minorHAnsi" w:cstheme="minorHAnsi"/>
          <w:b/>
          <w:bCs/>
          <w:sz w:val="28"/>
          <w:szCs w:val="28"/>
        </w:rPr>
      </w:pPr>
    </w:p>
    <w:p w:rsidR="00906F7F" w:rsidRDefault="00334B49" w:rsidP="00FA630C">
      <w:pPr>
        <w:pStyle w:val="Default"/>
        <w:jc w:val="center"/>
        <w:rPr>
          <w:rFonts w:asciiTheme="minorHAnsi" w:hAnsiTheme="minorHAnsi" w:cstheme="minorHAnsi"/>
          <w:b/>
          <w:bCs/>
          <w:sz w:val="28"/>
          <w:szCs w:val="28"/>
        </w:rPr>
      </w:pPr>
      <w:r>
        <w:rPr>
          <w:rFonts w:asciiTheme="minorHAnsi" w:hAnsiTheme="minorHAnsi" w:cstheme="minorHAnsi"/>
          <w:b/>
          <w:bCs/>
          <w:sz w:val="28"/>
          <w:szCs w:val="28"/>
        </w:rPr>
        <w:t xml:space="preserve">L’Agence pour le Développement Agricole et le Fonds Vert pour le Climat renforcent leur coopération dans la finance climat  </w:t>
      </w:r>
    </w:p>
    <w:p w:rsidR="00937F00" w:rsidRDefault="00937F00" w:rsidP="00906F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50" w:afterAutospacing="1"/>
        <w:jc w:val="both"/>
        <w:rPr>
          <w:rFonts w:ascii="Calibri" w:eastAsia="Times New Roman" w:hAnsi="Calibri" w:cs="Calibri"/>
          <w:color w:val="000000"/>
          <w:sz w:val="28"/>
          <w:szCs w:val="28"/>
          <w:bdr w:val="none" w:sz="0" w:space="0" w:color="auto"/>
          <w:lang w:val="fr-FR" w:eastAsia="fr-FR"/>
        </w:rPr>
      </w:pPr>
    </w:p>
    <w:p w:rsidR="00FA630C" w:rsidRPr="00FA630C" w:rsidRDefault="00FA630C" w:rsidP="00334B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50" w:afterAutospacing="1"/>
        <w:jc w:val="both"/>
        <w:rPr>
          <w:rFonts w:ascii="Calibri" w:eastAsia="Times New Roman" w:hAnsi="Calibri" w:cs="Calibri"/>
          <w:b/>
          <w:bCs/>
          <w:color w:val="000000"/>
          <w:sz w:val="28"/>
          <w:szCs w:val="28"/>
          <w:bdr w:val="none" w:sz="0" w:space="0" w:color="auto"/>
          <w:lang w:val="fr-FR" w:eastAsia="fr-FR"/>
        </w:rPr>
      </w:pPr>
      <w:r w:rsidRPr="00FA630C">
        <w:rPr>
          <w:rFonts w:ascii="Calibri" w:eastAsia="Times New Roman" w:hAnsi="Calibri" w:cs="Calibri"/>
          <w:color w:val="000000"/>
          <w:sz w:val="28"/>
          <w:szCs w:val="28"/>
          <w:bdr w:val="none" w:sz="0" w:space="0" w:color="auto"/>
          <w:lang w:val="fr-FR" w:eastAsia="fr-FR"/>
        </w:rPr>
        <w:t>Dans le cadre de la coopération avec le Fonds Vert pour le Climat (FVC),</w:t>
      </w:r>
      <w:r w:rsidRPr="00FA630C">
        <w:rPr>
          <w:rFonts w:ascii="Calibri" w:eastAsia="Times New Roman" w:hAnsi="Calibri" w:cs="Calibri"/>
          <w:b/>
          <w:bCs/>
          <w:color w:val="000000"/>
          <w:sz w:val="28"/>
          <w:szCs w:val="28"/>
          <w:bdr w:val="none" w:sz="0" w:space="0" w:color="auto"/>
          <w:lang w:val="fr-FR" w:eastAsia="fr-FR"/>
        </w:rPr>
        <w:t xml:space="preserve"> M</w:t>
      </w:r>
      <w:r w:rsidR="00906F7F">
        <w:rPr>
          <w:rFonts w:ascii="Calibri" w:eastAsia="Times New Roman" w:hAnsi="Calibri" w:cs="Calibri"/>
          <w:b/>
          <w:bCs/>
          <w:color w:val="000000"/>
          <w:sz w:val="28"/>
          <w:szCs w:val="28"/>
          <w:bdr w:val="none" w:sz="0" w:space="0" w:color="auto"/>
          <w:lang w:val="fr-FR" w:eastAsia="fr-FR"/>
        </w:rPr>
        <w:t>onsieur</w:t>
      </w:r>
      <w:r w:rsidRPr="00FA630C">
        <w:rPr>
          <w:rFonts w:ascii="Calibri" w:eastAsia="Times New Roman" w:hAnsi="Calibri" w:cs="Calibri"/>
          <w:b/>
          <w:bCs/>
          <w:color w:val="000000"/>
          <w:sz w:val="28"/>
          <w:szCs w:val="28"/>
          <w:bdr w:val="none" w:sz="0" w:space="0" w:color="auto"/>
          <w:lang w:val="fr-FR" w:eastAsia="fr-FR"/>
        </w:rPr>
        <w:t xml:space="preserve"> HOWARD BAMSEY, DIRECTEUR EXECUTIF DU FVC </w:t>
      </w:r>
      <w:r w:rsidRPr="00FA630C">
        <w:rPr>
          <w:rFonts w:ascii="Calibri" w:eastAsia="Times New Roman" w:hAnsi="Calibri" w:cs="Calibri"/>
          <w:color w:val="000000"/>
          <w:sz w:val="28"/>
          <w:szCs w:val="28"/>
          <w:bdr w:val="none" w:sz="0" w:space="0" w:color="auto"/>
          <w:lang w:val="fr-FR" w:eastAsia="fr-FR"/>
        </w:rPr>
        <w:t xml:space="preserve">s’est entretenu </w:t>
      </w:r>
      <w:r w:rsidR="00334B49">
        <w:rPr>
          <w:rFonts w:ascii="Calibri" w:eastAsia="Times New Roman" w:hAnsi="Calibri" w:cs="Calibri"/>
          <w:color w:val="000000"/>
          <w:sz w:val="28"/>
          <w:szCs w:val="28"/>
          <w:bdr w:val="none" w:sz="0" w:space="0" w:color="auto"/>
          <w:lang w:val="fr-FR" w:eastAsia="fr-FR"/>
        </w:rPr>
        <w:t>à Rabat</w:t>
      </w:r>
      <w:r w:rsidRPr="00FA630C">
        <w:rPr>
          <w:rFonts w:ascii="Calibri" w:eastAsia="Times New Roman" w:hAnsi="Calibri" w:cs="Calibri"/>
          <w:color w:val="000000"/>
          <w:sz w:val="28"/>
          <w:szCs w:val="28"/>
          <w:bdr w:val="none" w:sz="0" w:space="0" w:color="auto"/>
          <w:lang w:val="fr-FR" w:eastAsia="fr-FR"/>
        </w:rPr>
        <w:t xml:space="preserve"> avec </w:t>
      </w:r>
      <w:r w:rsidRPr="00FA630C">
        <w:rPr>
          <w:rFonts w:ascii="Calibri" w:eastAsia="Times New Roman" w:hAnsi="Calibri" w:cs="Calibri"/>
          <w:b/>
          <w:bCs/>
          <w:color w:val="000000"/>
          <w:sz w:val="28"/>
          <w:szCs w:val="28"/>
          <w:bdr w:val="none" w:sz="0" w:space="0" w:color="auto"/>
          <w:lang w:val="fr-FR" w:eastAsia="fr-FR"/>
        </w:rPr>
        <w:t>M</w:t>
      </w:r>
      <w:r w:rsidR="00906F7F">
        <w:rPr>
          <w:rFonts w:ascii="Calibri" w:eastAsia="Times New Roman" w:hAnsi="Calibri" w:cs="Calibri"/>
          <w:b/>
          <w:bCs/>
          <w:color w:val="000000"/>
          <w:sz w:val="28"/>
          <w:szCs w:val="28"/>
          <w:bdr w:val="none" w:sz="0" w:space="0" w:color="auto"/>
          <w:lang w:val="fr-FR" w:eastAsia="fr-FR"/>
        </w:rPr>
        <w:t xml:space="preserve">onsieur </w:t>
      </w:r>
      <w:r w:rsidRPr="00FA630C">
        <w:rPr>
          <w:rFonts w:ascii="Calibri" w:eastAsia="Times New Roman" w:hAnsi="Calibri" w:cs="Calibri"/>
          <w:b/>
          <w:bCs/>
          <w:color w:val="000000"/>
          <w:sz w:val="28"/>
          <w:szCs w:val="28"/>
          <w:bdr w:val="none" w:sz="0" w:space="0" w:color="auto"/>
          <w:lang w:val="fr-FR" w:eastAsia="fr-FR"/>
        </w:rPr>
        <w:t>El Mahdi ARRIFI</w:t>
      </w:r>
      <w:r w:rsidRPr="00FA630C">
        <w:rPr>
          <w:rFonts w:ascii="Calibri" w:eastAsia="Times New Roman" w:hAnsi="Calibri" w:cs="Calibri"/>
          <w:color w:val="000000"/>
          <w:sz w:val="28"/>
          <w:szCs w:val="28"/>
          <w:bdr w:val="none" w:sz="0" w:space="0" w:color="auto"/>
          <w:lang w:val="fr-FR" w:eastAsia="fr-FR"/>
        </w:rPr>
        <w:t>, Directeur Général de l’Agence pour le Développement Agricole au sein du siège de l’ADA.  </w:t>
      </w:r>
    </w:p>
    <w:p w:rsidR="00FA630C" w:rsidRPr="00FA630C" w:rsidRDefault="00FA630C" w:rsidP="00906F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r w:rsidRPr="00FA630C">
        <w:rPr>
          <w:rFonts w:ascii="Calibri" w:eastAsia="Times New Roman" w:hAnsi="Calibri" w:cs="Calibri"/>
          <w:color w:val="000000"/>
          <w:sz w:val="28"/>
          <w:szCs w:val="28"/>
          <w:bdr w:val="none" w:sz="0" w:space="0" w:color="auto"/>
          <w:lang w:val="fr-FR" w:eastAsia="fr-FR"/>
        </w:rPr>
        <w:t>Cette rencontre, était l’occasion pour l’ADA de mettre en exergue l</w:t>
      </w:r>
      <w:r w:rsidR="00906F7F">
        <w:rPr>
          <w:rFonts w:ascii="Calibri" w:eastAsia="Times New Roman" w:hAnsi="Calibri" w:cs="Calibri"/>
          <w:color w:val="000000"/>
          <w:sz w:val="28"/>
          <w:szCs w:val="28"/>
          <w:bdr w:val="none" w:sz="0" w:space="0" w:color="auto"/>
          <w:lang w:val="fr-FR" w:eastAsia="fr-FR"/>
        </w:rPr>
        <w:t xml:space="preserve">a coopération fructueuse avec </w:t>
      </w:r>
      <w:r w:rsidRPr="00FA630C">
        <w:rPr>
          <w:rFonts w:ascii="Calibri" w:eastAsia="Times New Roman" w:hAnsi="Calibri" w:cs="Calibri"/>
          <w:color w:val="000000"/>
          <w:sz w:val="28"/>
          <w:szCs w:val="28"/>
          <w:bdr w:val="none" w:sz="0" w:space="0" w:color="auto"/>
          <w:lang w:val="fr-FR" w:eastAsia="fr-FR"/>
        </w:rPr>
        <w:t xml:space="preserve">le FVC </w:t>
      </w:r>
      <w:r w:rsidR="00906F7F">
        <w:rPr>
          <w:rFonts w:ascii="Calibri" w:eastAsia="Times New Roman" w:hAnsi="Calibri" w:cs="Calibri"/>
          <w:color w:val="000000"/>
          <w:sz w:val="28"/>
          <w:szCs w:val="28"/>
          <w:bdr w:val="none" w:sz="0" w:space="0" w:color="auto"/>
          <w:lang w:val="fr-FR" w:eastAsia="fr-FR"/>
        </w:rPr>
        <w:t xml:space="preserve">en termes de </w:t>
      </w:r>
      <w:r w:rsidRPr="00FA630C">
        <w:rPr>
          <w:rFonts w:ascii="Calibri" w:eastAsia="Times New Roman" w:hAnsi="Calibri" w:cs="Calibri"/>
          <w:color w:val="000000"/>
          <w:sz w:val="28"/>
          <w:szCs w:val="28"/>
          <w:bdr w:val="none" w:sz="0" w:space="0" w:color="auto"/>
          <w:lang w:val="fr-FR" w:eastAsia="fr-FR"/>
        </w:rPr>
        <w:t xml:space="preserve">mobilisation des financements auprès de ce bailleur de fonds. </w:t>
      </w:r>
    </w:p>
    <w:p w:rsidR="00906F7F" w:rsidRDefault="00906F7F" w:rsidP="00906F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r>
        <w:rPr>
          <w:rFonts w:ascii="Calibri" w:eastAsia="Times New Roman" w:hAnsi="Calibri" w:cs="Calibri"/>
          <w:color w:val="000000"/>
          <w:sz w:val="28"/>
          <w:szCs w:val="28"/>
          <w:bdr w:val="none" w:sz="0" w:space="0" w:color="auto"/>
          <w:lang w:val="fr-FR" w:eastAsia="fr-FR"/>
        </w:rPr>
        <w:t xml:space="preserve">Lors de cette rencontre, l’accent a été mis sur </w:t>
      </w:r>
      <w:r w:rsidR="00FA630C" w:rsidRPr="00FA630C">
        <w:rPr>
          <w:rFonts w:ascii="Calibri" w:eastAsia="Times New Roman" w:hAnsi="Calibri" w:cs="Calibri"/>
          <w:color w:val="000000"/>
          <w:sz w:val="28"/>
          <w:szCs w:val="28"/>
          <w:bdr w:val="none" w:sz="0" w:space="0" w:color="auto"/>
          <w:lang w:val="fr-FR" w:eastAsia="fr-FR"/>
        </w:rPr>
        <w:t>l’importance de la contribution du secteur agricole dans la NDC Maroc</w:t>
      </w:r>
      <w:r>
        <w:rPr>
          <w:rFonts w:ascii="Calibri" w:eastAsia="Times New Roman" w:hAnsi="Calibri" w:cs="Calibri"/>
          <w:color w:val="000000"/>
          <w:sz w:val="28"/>
          <w:szCs w:val="28"/>
          <w:bdr w:val="none" w:sz="0" w:space="0" w:color="auto"/>
          <w:lang w:val="fr-FR" w:eastAsia="fr-FR"/>
        </w:rPr>
        <w:t xml:space="preserve"> à travers notamment une mobilisation accélérée des fonds auprès des bailleurs de fonds.</w:t>
      </w:r>
    </w:p>
    <w:p w:rsidR="00FA630C" w:rsidRPr="00FA630C" w:rsidRDefault="00906F7F" w:rsidP="00334B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i/>
          <w:iCs/>
          <w:color w:val="000000"/>
          <w:sz w:val="28"/>
          <w:szCs w:val="28"/>
          <w:bdr w:val="none" w:sz="0" w:space="0" w:color="auto"/>
          <w:lang w:val="fr-FR" w:eastAsia="fr-FR"/>
        </w:rPr>
      </w:pPr>
      <w:r>
        <w:rPr>
          <w:rFonts w:ascii="Calibri" w:eastAsia="Times New Roman" w:hAnsi="Calibri" w:cs="Calibri"/>
          <w:color w:val="000000"/>
          <w:sz w:val="28"/>
          <w:szCs w:val="28"/>
          <w:bdr w:val="none" w:sz="0" w:space="0" w:color="auto"/>
          <w:lang w:val="fr-FR" w:eastAsia="fr-FR"/>
        </w:rPr>
        <w:t xml:space="preserve">L’ADA a mis en avant les </w:t>
      </w:r>
      <w:r w:rsidR="00FA630C" w:rsidRPr="00FA630C">
        <w:rPr>
          <w:rFonts w:ascii="Calibri" w:eastAsia="Times New Roman" w:hAnsi="Calibri" w:cs="Calibri"/>
          <w:color w:val="000000"/>
          <w:sz w:val="28"/>
          <w:szCs w:val="28"/>
          <w:bdr w:val="none" w:sz="0" w:space="0" w:color="auto"/>
          <w:lang w:val="fr-FR" w:eastAsia="fr-FR"/>
        </w:rPr>
        <w:t xml:space="preserve">projets prioritaires soumis </w:t>
      </w:r>
      <w:r>
        <w:rPr>
          <w:rFonts w:ascii="Calibri" w:eastAsia="Times New Roman" w:hAnsi="Calibri" w:cs="Calibri"/>
          <w:color w:val="000000"/>
          <w:sz w:val="28"/>
          <w:szCs w:val="28"/>
          <w:bdr w:val="none" w:sz="0" w:space="0" w:color="auto"/>
          <w:lang w:val="fr-FR" w:eastAsia="fr-FR"/>
        </w:rPr>
        <w:t xml:space="preserve">actuellement au financement du </w:t>
      </w:r>
      <w:r w:rsidR="00FA630C" w:rsidRPr="00FA630C">
        <w:rPr>
          <w:rFonts w:ascii="Calibri" w:eastAsia="Times New Roman" w:hAnsi="Calibri" w:cs="Calibri"/>
          <w:color w:val="000000"/>
          <w:sz w:val="28"/>
          <w:szCs w:val="28"/>
          <w:bdr w:val="none" w:sz="0" w:space="0" w:color="auto"/>
          <w:lang w:val="fr-FR" w:eastAsia="fr-FR"/>
        </w:rPr>
        <w:t>FVC</w:t>
      </w:r>
      <w:r>
        <w:rPr>
          <w:rFonts w:ascii="Calibri" w:eastAsia="Times New Roman" w:hAnsi="Calibri" w:cs="Calibri"/>
          <w:color w:val="000000"/>
          <w:sz w:val="28"/>
          <w:szCs w:val="28"/>
          <w:bdr w:val="none" w:sz="0" w:space="0" w:color="auto"/>
          <w:lang w:val="fr-FR" w:eastAsia="fr-FR"/>
        </w:rPr>
        <w:t>. Ce portefeuille de projet</w:t>
      </w:r>
      <w:r w:rsidR="00334B49">
        <w:rPr>
          <w:rFonts w:ascii="Calibri" w:eastAsia="Times New Roman" w:hAnsi="Calibri" w:cs="Calibri"/>
          <w:color w:val="000000"/>
          <w:sz w:val="28"/>
          <w:szCs w:val="28"/>
          <w:bdr w:val="none" w:sz="0" w:space="0" w:color="auto"/>
          <w:lang w:val="fr-FR" w:eastAsia="fr-FR"/>
        </w:rPr>
        <w:t>s,</w:t>
      </w:r>
      <w:r>
        <w:rPr>
          <w:rFonts w:ascii="Calibri" w:eastAsia="Times New Roman" w:hAnsi="Calibri" w:cs="Calibri"/>
          <w:color w:val="000000"/>
          <w:sz w:val="28"/>
          <w:szCs w:val="28"/>
          <w:bdr w:val="none" w:sz="0" w:space="0" w:color="auto"/>
          <w:lang w:val="fr-FR" w:eastAsia="fr-FR"/>
        </w:rPr>
        <w:t xml:space="preserve"> qui concerne aussi bien l’adaptation que l’atténuation des effets au changement, porte essentiellement sur la gestion de l’eau,</w:t>
      </w:r>
      <w:r w:rsidR="00334B49">
        <w:rPr>
          <w:rFonts w:ascii="Calibri" w:eastAsia="Times New Roman" w:hAnsi="Calibri" w:cs="Calibri"/>
          <w:color w:val="000000"/>
          <w:sz w:val="28"/>
          <w:szCs w:val="28"/>
          <w:bdr w:val="none" w:sz="0" w:space="0" w:color="auto"/>
          <w:lang w:val="fr-FR" w:eastAsia="fr-FR"/>
        </w:rPr>
        <w:t xml:space="preserve"> l’irrigation, les énergies renouvelables</w:t>
      </w:r>
      <w:r>
        <w:rPr>
          <w:rFonts w:ascii="Calibri" w:eastAsia="Times New Roman" w:hAnsi="Calibri" w:cs="Calibri"/>
          <w:color w:val="000000"/>
          <w:sz w:val="28"/>
          <w:szCs w:val="28"/>
          <w:bdr w:val="none" w:sz="0" w:space="0" w:color="auto"/>
          <w:lang w:val="fr-FR" w:eastAsia="fr-FR"/>
        </w:rPr>
        <w:t xml:space="preserve">, la </w:t>
      </w:r>
      <w:r w:rsidR="00FA630C" w:rsidRPr="00FA630C">
        <w:rPr>
          <w:rFonts w:ascii="Calibri" w:eastAsia="Times New Roman" w:hAnsi="Calibri" w:cs="Calibri"/>
          <w:i/>
          <w:iCs/>
          <w:color w:val="000000"/>
          <w:sz w:val="28"/>
          <w:szCs w:val="28"/>
          <w:bdr w:val="none" w:sz="0" w:space="0" w:color="auto"/>
          <w:lang w:val="fr-FR" w:eastAsia="fr-FR"/>
        </w:rPr>
        <w:t>production d'al</w:t>
      </w:r>
      <w:r w:rsidR="00334B49">
        <w:rPr>
          <w:rFonts w:ascii="Calibri" w:eastAsia="Times New Roman" w:hAnsi="Calibri" w:cs="Calibri"/>
          <w:i/>
          <w:iCs/>
          <w:color w:val="000000"/>
          <w:sz w:val="28"/>
          <w:szCs w:val="28"/>
          <w:bdr w:val="none" w:sz="0" w:space="0" w:color="auto"/>
          <w:lang w:val="fr-FR" w:eastAsia="fr-FR"/>
        </w:rPr>
        <w:t>iments à base d’algues</w:t>
      </w:r>
      <w:r>
        <w:rPr>
          <w:rFonts w:ascii="Calibri" w:eastAsia="Times New Roman" w:hAnsi="Calibri" w:cs="Calibri"/>
          <w:i/>
          <w:iCs/>
          <w:color w:val="000000"/>
          <w:sz w:val="28"/>
          <w:szCs w:val="28"/>
          <w:bdr w:val="none" w:sz="0" w:space="0" w:color="auto"/>
          <w:lang w:val="fr-FR" w:eastAsia="fr-FR"/>
        </w:rPr>
        <w:t xml:space="preserve"> et l’aménagement de l’espace agricole.</w:t>
      </w:r>
    </w:p>
    <w:p w:rsidR="00906F7F" w:rsidRDefault="00906F7F" w:rsidP="00906F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r>
        <w:rPr>
          <w:rFonts w:ascii="Calibri" w:eastAsia="Times New Roman" w:hAnsi="Calibri" w:cs="Calibri"/>
          <w:color w:val="000000"/>
          <w:sz w:val="28"/>
          <w:szCs w:val="28"/>
          <w:bdr w:val="none" w:sz="0" w:space="0" w:color="auto"/>
          <w:lang w:val="fr-FR" w:eastAsia="fr-FR"/>
        </w:rPr>
        <w:t xml:space="preserve">Le </w:t>
      </w:r>
      <w:r w:rsidR="00FA630C" w:rsidRPr="00FA630C">
        <w:rPr>
          <w:rFonts w:ascii="Calibri" w:eastAsia="Times New Roman" w:hAnsi="Calibri" w:cs="Calibri"/>
          <w:color w:val="000000"/>
          <w:sz w:val="28"/>
          <w:szCs w:val="28"/>
          <w:bdr w:val="none" w:sz="0" w:space="0" w:color="auto"/>
          <w:lang w:val="fr-FR" w:eastAsia="fr-FR"/>
        </w:rPr>
        <w:t xml:space="preserve">processus d'approbation simplifié (PAS) </w:t>
      </w:r>
      <w:r>
        <w:rPr>
          <w:rFonts w:ascii="Calibri" w:eastAsia="Times New Roman" w:hAnsi="Calibri" w:cs="Calibri"/>
          <w:color w:val="000000"/>
          <w:sz w:val="28"/>
          <w:szCs w:val="28"/>
          <w:bdr w:val="none" w:sz="0" w:space="0" w:color="auto"/>
          <w:lang w:val="fr-FR" w:eastAsia="fr-FR"/>
        </w:rPr>
        <w:t xml:space="preserve">d’approbation des projets par le FVC </w:t>
      </w:r>
      <w:r w:rsidR="00FA630C" w:rsidRPr="00FA630C">
        <w:rPr>
          <w:rFonts w:ascii="Calibri" w:eastAsia="Times New Roman" w:hAnsi="Calibri" w:cs="Calibri"/>
          <w:color w:val="000000"/>
          <w:sz w:val="28"/>
          <w:szCs w:val="28"/>
          <w:bdr w:val="none" w:sz="0" w:space="0" w:color="auto"/>
          <w:lang w:val="fr-FR" w:eastAsia="fr-FR"/>
        </w:rPr>
        <w:t xml:space="preserve">a été </w:t>
      </w:r>
      <w:r>
        <w:rPr>
          <w:rFonts w:ascii="Calibri" w:eastAsia="Times New Roman" w:hAnsi="Calibri" w:cs="Calibri"/>
          <w:color w:val="000000"/>
          <w:sz w:val="28"/>
          <w:szCs w:val="28"/>
          <w:bdr w:val="none" w:sz="0" w:space="0" w:color="auto"/>
          <w:lang w:val="fr-FR" w:eastAsia="fr-FR"/>
        </w:rPr>
        <w:t xml:space="preserve">également abordé lors de cette rencontre en évoquant son opportunité pour le Royaume du Maroc de mobiliser davantage de fonds pour des </w:t>
      </w:r>
      <w:r w:rsidR="00FA630C" w:rsidRPr="00FA630C">
        <w:rPr>
          <w:rFonts w:ascii="Calibri" w:eastAsia="Times New Roman" w:hAnsi="Calibri" w:cs="Calibri"/>
          <w:color w:val="000000"/>
          <w:sz w:val="28"/>
          <w:szCs w:val="28"/>
          <w:bdr w:val="none" w:sz="0" w:space="0" w:color="auto"/>
          <w:lang w:val="fr-FR" w:eastAsia="fr-FR"/>
        </w:rPr>
        <w:t>projets à faible impact environnemental et social pour un montant ne dépassant pas 10 MUSD par projet</w:t>
      </w:r>
      <w:r>
        <w:rPr>
          <w:rFonts w:ascii="Calibri" w:eastAsia="Times New Roman" w:hAnsi="Calibri" w:cs="Calibri"/>
          <w:color w:val="000000"/>
          <w:sz w:val="28"/>
          <w:szCs w:val="28"/>
          <w:bdr w:val="none" w:sz="0" w:space="0" w:color="auto"/>
          <w:lang w:val="fr-FR" w:eastAsia="fr-FR"/>
        </w:rPr>
        <w:t>.</w:t>
      </w:r>
    </w:p>
    <w:p w:rsidR="00FA630C" w:rsidRPr="00FA630C" w:rsidRDefault="00FA630C" w:rsidP="00334B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r w:rsidRPr="00FA630C">
        <w:rPr>
          <w:rFonts w:ascii="Calibri" w:eastAsia="Times New Roman" w:hAnsi="Calibri" w:cs="Calibri"/>
          <w:color w:val="000000"/>
          <w:sz w:val="28"/>
          <w:szCs w:val="28"/>
          <w:bdr w:val="none" w:sz="0" w:space="0" w:color="auto"/>
          <w:lang w:val="fr-FR" w:eastAsia="fr-FR"/>
        </w:rPr>
        <w:t xml:space="preserve">De sa part, </w:t>
      </w:r>
      <w:r w:rsidRPr="00FA630C">
        <w:rPr>
          <w:rFonts w:ascii="Calibri" w:eastAsia="Times New Roman" w:hAnsi="Calibri" w:cs="Calibri"/>
          <w:b/>
          <w:bCs/>
          <w:color w:val="000000"/>
          <w:sz w:val="28"/>
          <w:szCs w:val="28"/>
          <w:bdr w:val="none" w:sz="0" w:space="0" w:color="auto"/>
          <w:lang w:val="fr-FR" w:eastAsia="fr-FR"/>
        </w:rPr>
        <w:t>M.</w:t>
      </w:r>
      <w:r w:rsidRPr="00FA630C">
        <w:rPr>
          <w:rFonts w:ascii="Calibri" w:eastAsia="Times New Roman" w:hAnsi="Calibri" w:cs="Calibri"/>
          <w:color w:val="000000"/>
          <w:sz w:val="28"/>
          <w:szCs w:val="28"/>
          <w:bdr w:val="none" w:sz="0" w:space="0" w:color="auto"/>
          <w:lang w:val="fr-FR" w:eastAsia="fr-FR"/>
        </w:rPr>
        <w:t xml:space="preserve"> </w:t>
      </w:r>
      <w:r w:rsidRPr="00FA630C">
        <w:rPr>
          <w:rFonts w:ascii="Calibri" w:eastAsia="Times New Roman" w:hAnsi="Calibri" w:cs="Calibri"/>
          <w:b/>
          <w:bCs/>
          <w:color w:val="000000"/>
          <w:sz w:val="28"/>
          <w:szCs w:val="28"/>
          <w:bdr w:val="none" w:sz="0" w:space="0" w:color="auto"/>
          <w:lang w:val="fr-FR" w:eastAsia="fr-FR"/>
        </w:rPr>
        <w:t xml:space="preserve">HOWARD BAMSEY </w:t>
      </w:r>
      <w:r w:rsidRPr="00FA630C">
        <w:rPr>
          <w:rFonts w:ascii="Calibri" w:eastAsia="Times New Roman" w:hAnsi="Calibri" w:cs="Calibri"/>
          <w:color w:val="000000"/>
          <w:sz w:val="28"/>
          <w:szCs w:val="28"/>
          <w:bdr w:val="none" w:sz="0" w:space="0" w:color="auto"/>
          <w:lang w:val="fr-FR" w:eastAsia="fr-FR"/>
        </w:rPr>
        <w:t xml:space="preserve">a félicité l’ADA pour son niveau de performance en matière de qualité des projets proposés au FVC notamment le projet de développement de l’arganiculture dans les zones vulnérables (DARED) qui est en cours de réalisation sous financement du FVC à travers un don de </w:t>
      </w:r>
      <w:r w:rsidRPr="00FA630C">
        <w:rPr>
          <w:rFonts w:ascii="Calibri" w:eastAsia="Times New Roman" w:hAnsi="Calibri" w:cs="Calibri"/>
          <w:b/>
          <w:bCs/>
          <w:color w:val="000000"/>
          <w:sz w:val="28"/>
          <w:szCs w:val="28"/>
          <w:bdr w:val="none" w:sz="0" w:space="0" w:color="auto"/>
          <w:lang w:val="fr-FR" w:eastAsia="fr-FR"/>
        </w:rPr>
        <w:t>39,3 MUSD</w:t>
      </w:r>
      <w:r w:rsidRPr="00FA630C">
        <w:rPr>
          <w:rFonts w:ascii="Calibri" w:eastAsia="Times New Roman" w:hAnsi="Calibri" w:cs="Calibri"/>
          <w:color w:val="000000"/>
          <w:sz w:val="28"/>
          <w:szCs w:val="28"/>
          <w:bdr w:val="none" w:sz="0" w:space="0" w:color="auto"/>
          <w:lang w:val="fr-FR" w:eastAsia="fr-FR"/>
        </w:rPr>
        <w:t xml:space="preserve">. Il a également souligné que l’ADA est considérée comme un modèle d’entité accréditée à suivre et que le FVC ne cesse de présenter lors de ces différents meetings qu’il organise. </w:t>
      </w:r>
    </w:p>
    <w:p w:rsidR="00FA630C" w:rsidRPr="00FA630C" w:rsidRDefault="00FA630C" w:rsidP="00FA63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p>
    <w:p w:rsidR="00FA630C" w:rsidRPr="00FA630C" w:rsidRDefault="00FA630C" w:rsidP="00FA63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50"/>
        <w:jc w:val="both"/>
        <w:rPr>
          <w:rFonts w:ascii="Calibri" w:eastAsia="Times New Roman" w:hAnsi="Calibri" w:cs="Calibri"/>
          <w:color w:val="000000"/>
          <w:sz w:val="28"/>
          <w:szCs w:val="28"/>
          <w:bdr w:val="none" w:sz="0" w:space="0" w:color="auto"/>
          <w:lang w:val="fr-FR" w:eastAsia="fr-FR"/>
        </w:rPr>
      </w:pPr>
    </w:p>
    <w:p w:rsidR="00FA630C" w:rsidRPr="00FA630C" w:rsidRDefault="00FA630C">
      <w:pPr>
        <w:rPr>
          <w:lang w:val="fr-FR"/>
        </w:rPr>
      </w:pPr>
    </w:p>
    <w:sectPr w:rsidR="00FA630C" w:rsidRPr="00FA630C" w:rsidSect="00F44C46">
      <w:headerReference w:type="even" r:id="rId9"/>
      <w:headerReference w:type="default" r:id="rId10"/>
      <w:footerReference w:type="even" r:id="rId11"/>
      <w:footerReference w:type="default" r:id="rId12"/>
      <w:headerReference w:type="first" r:id="rId13"/>
      <w:pgSz w:w="11900" w:h="16840"/>
      <w:pgMar w:top="0" w:right="843" w:bottom="1134" w:left="1134" w:header="227"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498" w:rsidRDefault="00393498">
      <w:r>
        <w:separator/>
      </w:r>
    </w:p>
  </w:endnote>
  <w:endnote w:type="continuationSeparator" w:id="0">
    <w:p w:rsidR="00393498" w:rsidRDefault="0039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88" w:rsidRDefault="006F5288" w:rsidP="00C10F8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F5288" w:rsidRDefault="006F5288" w:rsidP="006F528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397132" w:rsidP="005A2E8A">
    <w:pPr>
      <w:pStyle w:val="En-tte"/>
      <w:tabs>
        <w:tab w:val="clear" w:pos="9020"/>
        <w:tab w:val="center" w:pos="4816"/>
      </w:tabs>
      <w:ind w:right="709"/>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498" w:rsidRDefault="00393498">
      <w:r>
        <w:separator/>
      </w:r>
    </w:p>
  </w:footnote>
  <w:footnote w:type="continuationSeparator" w:id="0">
    <w:p w:rsidR="00393498" w:rsidRDefault="00393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393498">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7974" w:rsidP="0018381D">
    <w:pPr>
      <w:pStyle w:val="En-tte"/>
      <w:tabs>
        <w:tab w:val="clear" w:pos="9020"/>
        <w:tab w:val="center" w:pos="4816"/>
        <w:tab w:val="right" w:pos="9632"/>
      </w:tabs>
      <w:ind w:left="-1134" w:right="567"/>
    </w:pPr>
    <w:r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F44C46">
    <w:pPr>
      <w:pStyle w:val="En-tte"/>
    </w:pPr>
    <w:r>
      <w:rPr>
        <w:noProof/>
      </w:rPr>
      <w:drawing>
        <wp:anchor distT="0" distB="0" distL="114300" distR="114300" simplePos="0" relativeHeight="251662336" behindDoc="1" locked="0" layoutInCell="1" allowOverlap="1" wp14:anchorId="7B1861C6" wp14:editId="5BC606F9">
          <wp:simplePos x="0" y="0"/>
          <wp:positionH relativeFrom="margin">
            <wp:posOffset>-666409</wp:posOffset>
          </wp:positionH>
          <wp:positionV relativeFrom="paragraph">
            <wp:posOffset>-147633</wp:posOffset>
          </wp:positionV>
          <wp:extent cx="7523461" cy="10638082"/>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ier Entête ADA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3461" cy="10638082"/>
                  </a:xfrm>
                  <a:prstGeom prst="rect">
                    <a:avLst/>
                  </a:prstGeom>
                </pic:spPr>
              </pic:pic>
            </a:graphicData>
          </a:graphic>
          <wp14:sizeRelH relativeFrom="page">
            <wp14:pctWidth>0</wp14:pctWidth>
          </wp14:sizeRelH>
          <wp14:sizeRelV relativeFrom="page">
            <wp14:pctHeight>0</wp14:pctHeight>
          </wp14:sizeRelV>
        </wp:anchor>
      </w:drawing>
    </w:r>
    <w:r w:rsidR="00393498">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D5DBC"/>
    <w:multiLevelType w:val="hybridMultilevel"/>
    <w:tmpl w:val="776E3A62"/>
    <w:lvl w:ilvl="0" w:tplc="767CCF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D34CB6"/>
    <w:multiLevelType w:val="hybridMultilevel"/>
    <w:tmpl w:val="37760EC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4DA3245F"/>
    <w:multiLevelType w:val="hybridMultilevel"/>
    <w:tmpl w:val="D3AE6E20"/>
    <w:lvl w:ilvl="0" w:tplc="513A958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3826915"/>
    <w:multiLevelType w:val="hybridMultilevel"/>
    <w:tmpl w:val="9D52EF4A"/>
    <w:lvl w:ilvl="0" w:tplc="4E1C00D8">
      <w:start w:val="2"/>
      <w:numFmt w:val="bullet"/>
      <w:lvlText w:val="-"/>
      <w:lvlJc w:val="left"/>
      <w:pPr>
        <w:ind w:left="420" w:hanging="360"/>
      </w:pPr>
      <w:rPr>
        <w:rFonts w:ascii="Century Gothic" w:eastAsia="Times New Roman" w:hAnsi="Century Gothic"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nsid w:val="56A12960"/>
    <w:multiLevelType w:val="hybridMultilevel"/>
    <w:tmpl w:val="54C0D790"/>
    <w:lvl w:ilvl="0" w:tplc="570AA6A4">
      <w:start w:val="1"/>
      <w:numFmt w:val="decimal"/>
      <w:lvlText w:val="%1-"/>
      <w:lvlJc w:val="left"/>
      <w:pPr>
        <w:ind w:left="720" w:hanging="360"/>
      </w:pPr>
      <w:rPr>
        <w:rFonts w:asciiTheme="minorHAnsi" w:eastAsiaTheme="minorHAnsi" w:hAnsiTheme="minorHAnsi" w:cstheme="minorBidi"/>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C7403B"/>
    <w:multiLevelType w:val="hybridMultilevel"/>
    <w:tmpl w:val="8FBA588C"/>
    <w:lvl w:ilvl="0" w:tplc="792061B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2345B4"/>
    <w:multiLevelType w:val="hybridMultilevel"/>
    <w:tmpl w:val="D292E8EA"/>
    <w:lvl w:ilvl="0" w:tplc="99AA872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3742678"/>
    <w:multiLevelType w:val="hybridMultilevel"/>
    <w:tmpl w:val="21C25194"/>
    <w:lvl w:ilvl="0" w:tplc="88FA5840">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6D89009B"/>
    <w:multiLevelType w:val="multilevel"/>
    <w:tmpl w:val="B65EC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76783AF7"/>
    <w:multiLevelType w:val="hybridMultilevel"/>
    <w:tmpl w:val="AB0EBA2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9"/>
  </w:num>
  <w:num w:numId="5">
    <w:abstractNumId w:val="2"/>
  </w:num>
  <w:num w:numId="6">
    <w:abstractNumId w:val="5"/>
  </w:num>
  <w:num w:numId="7">
    <w:abstractNumId w:val="6"/>
  </w:num>
  <w:num w:numId="8">
    <w:abstractNumId w:val="3"/>
  </w:num>
  <w:num w:numId="9">
    <w:abstractNumId w:val="4"/>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C448E"/>
    <w:rsid w:val="000E2DAD"/>
    <w:rsid w:val="000F51F0"/>
    <w:rsid w:val="001173FB"/>
    <w:rsid w:val="0018381D"/>
    <w:rsid w:val="00190765"/>
    <w:rsid w:val="002679EE"/>
    <w:rsid w:val="00267C38"/>
    <w:rsid w:val="002D4D4B"/>
    <w:rsid w:val="00320760"/>
    <w:rsid w:val="00334B49"/>
    <w:rsid w:val="00393498"/>
    <w:rsid w:val="00397132"/>
    <w:rsid w:val="003C341E"/>
    <w:rsid w:val="004708C8"/>
    <w:rsid w:val="00474A5D"/>
    <w:rsid w:val="004B3B21"/>
    <w:rsid w:val="004D0548"/>
    <w:rsid w:val="004D44F9"/>
    <w:rsid w:val="00512309"/>
    <w:rsid w:val="00590A3D"/>
    <w:rsid w:val="005A04A4"/>
    <w:rsid w:val="005A2E8A"/>
    <w:rsid w:val="006716C0"/>
    <w:rsid w:val="00681E69"/>
    <w:rsid w:val="006A4E39"/>
    <w:rsid w:val="006F5288"/>
    <w:rsid w:val="0071047C"/>
    <w:rsid w:val="007663AA"/>
    <w:rsid w:val="0080250A"/>
    <w:rsid w:val="00811DE9"/>
    <w:rsid w:val="00882ED4"/>
    <w:rsid w:val="00893ACA"/>
    <w:rsid w:val="008A6467"/>
    <w:rsid w:val="00906F7F"/>
    <w:rsid w:val="00937F00"/>
    <w:rsid w:val="00983EC3"/>
    <w:rsid w:val="009A3F25"/>
    <w:rsid w:val="009C0CE3"/>
    <w:rsid w:val="009E375E"/>
    <w:rsid w:val="00A71949"/>
    <w:rsid w:val="00AA0229"/>
    <w:rsid w:val="00AA19A9"/>
    <w:rsid w:val="00AB04D5"/>
    <w:rsid w:val="00AC7ACA"/>
    <w:rsid w:val="00B639C0"/>
    <w:rsid w:val="00B92A5D"/>
    <w:rsid w:val="00C10F86"/>
    <w:rsid w:val="00C610E3"/>
    <w:rsid w:val="00CE7504"/>
    <w:rsid w:val="00EB388A"/>
    <w:rsid w:val="00F20573"/>
    <w:rsid w:val="00F44C46"/>
    <w:rsid w:val="00F701ED"/>
    <w:rsid w:val="00F80530"/>
    <w:rsid w:val="00FA630C"/>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customStyle="1" w:styleId="Default">
    <w:name w:val="Default"/>
    <w:rsid w:val="00FA63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customStyle="1" w:styleId="Default">
    <w:name w:val="Default"/>
    <w:rsid w:val="00FA63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763454">
      <w:bodyDiv w:val="1"/>
      <w:marLeft w:val="0"/>
      <w:marRight w:val="0"/>
      <w:marTop w:val="0"/>
      <w:marBottom w:val="0"/>
      <w:divBdr>
        <w:top w:val="none" w:sz="0" w:space="0" w:color="auto"/>
        <w:left w:val="none" w:sz="0" w:space="0" w:color="auto"/>
        <w:bottom w:val="none" w:sz="0" w:space="0" w:color="auto"/>
        <w:right w:val="none" w:sz="0" w:space="0" w:color="auto"/>
      </w:divBdr>
    </w:div>
    <w:div w:id="94341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093F9-1F6D-4AB1-8112-7B296B1B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1664</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2018-05-11T14:14:00Z</cp:lastPrinted>
  <dcterms:created xsi:type="dcterms:W3CDTF">2018-05-28T13:50:00Z</dcterms:created>
  <dcterms:modified xsi:type="dcterms:W3CDTF">2018-05-28T13:50:00Z</dcterms:modified>
</cp:coreProperties>
</file>